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C8925" w14:textId="53920F91" w:rsidR="006F7DD1" w:rsidRPr="00D54C07" w:rsidRDefault="006F7DD1" w:rsidP="006F7DD1">
      <w:pPr>
        <w:pStyle w:val="Header"/>
        <w:tabs>
          <w:tab w:val="right" w:pos="9639"/>
        </w:tabs>
        <w:rPr>
          <w:bCs/>
          <w:noProof w:val="0"/>
          <w:sz w:val="24"/>
          <w:szCs w:val="24"/>
          <w:lang w:val="de-DE"/>
        </w:rPr>
      </w:pPr>
      <w:bookmarkStart w:id="0" w:name="_Hlk37418177"/>
      <w:bookmarkStart w:id="1" w:name="_Hlk148433929"/>
      <w:r w:rsidRPr="00D54C07">
        <w:rPr>
          <w:bCs/>
          <w:noProof w:val="0"/>
          <w:sz w:val="24"/>
          <w:szCs w:val="24"/>
          <w:lang w:val="de-DE"/>
        </w:rPr>
        <w:t>3GPP TSG RAN WG2 #131-bis</w:t>
      </w:r>
      <w:r w:rsidRPr="00D54C07">
        <w:rPr>
          <w:lang w:val="de-DE"/>
        </w:rPr>
        <w:tab/>
      </w:r>
      <w:r w:rsidR="00B242FE" w:rsidRPr="00D54C07">
        <w:rPr>
          <w:bCs/>
          <w:noProof w:val="0"/>
          <w:sz w:val="24"/>
          <w:szCs w:val="24"/>
          <w:lang w:val="de-DE"/>
        </w:rPr>
        <w:t>R2-2507365</w:t>
      </w:r>
    </w:p>
    <w:bookmarkEnd w:id="0"/>
    <w:bookmarkEnd w:id="1"/>
    <w:p w14:paraId="25B6203E" w14:textId="77777777" w:rsidR="006F7DD1" w:rsidRPr="00137C44" w:rsidRDefault="006F7DD1" w:rsidP="006F7DD1">
      <w:pPr>
        <w:pStyle w:val="Header"/>
        <w:rPr>
          <w:bCs/>
          <w:noProof w:val="0"/>
          <w:sz w:val="24"/>
          <w:szCs w:val="24"/>
        </w:rPr>
      </w:pPr>
      <w:r>
        <w:rPr>
          <w:bCs/>
          <w:noProof w:val="0"/>
          <w:sz w:val="24"/>
          <w:szCs w:val="24"/>
        </w:rPr>
        <w:t>Prague, Czechia</w:t>
      </w:r>
      <w:r w:rsidRPr="00137C44">
        <w:rPr>
          <w:bCs/>
          <w:noProof w:val="0"/>
          <w:sz w:val="24"/>
          <w:szCs w:val="24"/>
        </w:rPr>
        <w:t xml:space="preserve">, </w:t>
      </w:r>
      <w:r>
        <w:rPr>
          <w:bCs/>
          <w:noProof w:val="0"/>
          <w:sz w:val="24"/>
          <w:szCs w:val="24"/>
        </w:rPr>
        <w:t>13</w:t>
      </w:r>
      <w:r w:rsidRPr="00A43F1A">
        <w:rPr>
          <w:bCs/>
          <w:noProof w:val="0"/>
          <w:sz w:val="24"/>
          <w:szCs w:val="24"/>
          <w:vertAlign w:val="superscript"/>
        </w:rPr>
        <w:t>th</w:t>
      </w:r>
      <w:r w:rsidRPr="00137C44">
        <w:rPr>
          <w:bCs/>
          <w:noProof w:val="0"/>
          <w:sz w:val="24"/>
          <w:szCs w:val="24"/>
        </w:rPr>
        <w:t xml:space="preserve"> – </w:t>
      </w:r>
      <w:r>
        <w:rPr>
          <w:bCs/>
          <w:noProof w:val="0"/>
          <w:sz w:val="24"/>
          <w:szCs w:val="24"/>
        </w:rPr>
        <w:t>17</w:t>
      </w:r>
      <w:r>
        <w:rPr>
          <w:bCs/>
          <w:noProof w:val="0"/>
          <w:sz w:val="24"/>
          <w:szCs w:val="24"/>
          <w:vertAlign w:val="superscript"/>
        </w:rPr>
        <w:t>th</w:t>
      </w:r>
      <w:r>
        <w:rPr>
          <w:bCs/>
          <w:noProof w:val="0"/>
          <w:sz w:val="24"/>
          <w:szCs w:val="24"/>
        </w:rPr>
        <w:t xml:space="preserve"> October</w:t>
      </w:r>
      <w:r w:rsidRPr="00137C44">
        <w:rPr>
          <w:bCs/>
          <w:noProof w:val="0"/>
          <w:sz w:val="24"/>
          <w:szCs w:val="24"/>
        </w:rPr>
        <w:t xml:space="preserve"> </w:t>
      </w:r>
      <w:r>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4C1D448"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D94E34">
        <w:rPr>
          <w:rFonts w:cs="Arial"/>
          <w:b/>
          <w:bCs/>
          <w:sz w:val="24"/>
          <w:lang w:val="en-US"/>
        </w:rPr>
        <w:t>10.4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7E236E3A"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C912E7">
        <w:rPr>
          <w:rFonts w:ascii="Arial" w:hAnsi="Arial" w:cs="Arial"/>
          <w:b/>
          <w:bCs/>
          <w:lang w:val="en-US"/>
        </w:rPr>
        <w:t>Cell-Pair Specific Inter-RAT Mobility Configuration</w:t>
      </w:r>
      <w:r w:rsidR="00561184">
        <w:rPr>
          <w:rFonts w:ascii="Arial" w:hAnsi="Arial" w:cs="Arial"/>
          <w:b/>
          <w:bCs/>
          <w:lang w:val="en-US"/>
        </w:rPr>
        <w:t xml:space="preserve"> </w:t>
      </w:r>
    </w:p>
    <w:p w14:paraId="11685FF7" w14:textId="4DF3DEF7"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C912E7">
        <w:rPr>
          <w:rFonts w:ascii="Arial" w:hAnsi="Arial" w:cs="Arial"/>
          <w:b/>
          <w:bCs/>
          <w:lang w:val="en-US"/>
        </w:rPr>
        <w:t>Discussion</w:t>
      </w:r>
    </w:p>
    <w:p w14:paraId="7CF7938E" w14:textId="18B270B9" w:rsidR="00ED1327" w:rsidRPr="003E16DD" w:rsidRDefault="00EE7FA7" w:rsidP="003E16DD">
      <w:pPr>
        <w:pStyle w:val="Heading1"/>
      </w:pPr>
      <w:r w:rsidRPr="003E16DD">
        <w:t>Introduction</w:t>
      </w:r>
    </w:p>
    <w:p w14:paraId="5E730A54" w14:textId="68998B8E" w:rsidR="00D012FC" w:rsidRDefault="00D012FC" w:rsidP="00D012FC">
      <w:pPr>
        <w:jc w:val="both"/>
      </w:pPr>
      <w:bookmarkStart w:id="2" w:name="_Hlk510705081"/>
      <w:r>
        <w:t xml:space="preserve">The new SID “Study on 6G Radio” [1] has been agreed in RAN#108 and revised [2] in RAN#109 meeting and objective </w:t>
      </w:r>
      <w:r w:rsidR="005A0DD1">
        <w:rPr>
          <w:lang w:val="en-US"/>
        </w:rPr>
        <w:t>7</w:t>
      </w:r>
      <w:r>
        <w:t xml:space="preserve"> of the study item is as shown below:</w:t>
      </w:r>
    </w:p>
    <w:p w14:paraId="0B6DAA1B" w14:textId="71E06179" w:rsidR="00475C60" w:rsidRPr="00475C60" w:rsidRDefault="00DE2E67" w:rsidP="00F64B37">
      <w:pPr>
        <w:pBdr>
          <w:top w:val="single" w:sz="4" w:space="1" w:color="auto"/>
          <w:left w:val="single" w:sz="4" w:space="4" w:color="auto"/>
          <w:bottom w:val="single" w:sz="4" w:space="1" w:color="auto"/>
          <w:right w:val="single" w:sz="4" w:space="4" w:color="auto"/>
        </w:pBdr>
        <w:spacing w:after="0"/>
        <w:jc w:val="both"/>
        <w:rPr>
          <w:i/>
          <w:iCs/>
          <w:color w:val="000000" w:themeColor="text1"/>
          <w:lang w:val="fi-FI" w:eastAsia="zh-CN"/>
        </w:rPr>
      </w:pPr>
      <w:r>
        <w:rPr>
          <w:i/>
          <w:iCs/>
          <w:color w:val="000000" w:themeColor="text1"/>
          <w:lang w:val="fi-FI" w:eastAsia="zh-CN"/>
        </w:rPr>
        <w:t xml:space="preserve">(7) </w:t>
      </w:r>
      <w:r w:rsidR="00475C60" w:rsidRPr="00475C60">
        <w:rPr>
          <w:i/>
          <w:iCs/>
          <w:color w:val="000000" w:themeColor="text1"/>
          <w:lang w:val="fi-FI" w:eastAsia="zh-CN"/>
        </w:rPr>
        <w:t xml:space="preserve">Migration from 5G NR to 6GR as well as </w:t>
      </w:r>
      <w:r w:rsidR="00475C60" w:rsidRPr="00E83D6B">
        <w:rPr>
          <w:i/>
          <w:iCs/>
          <w:color w:val="000000" w:themeColor="text1"/>
          <w:highlight w:val="yellow"/>
          <w:lang w:val="fi-FI" w:eastAsia="zh-CN"/>
        </w:rPr>
        <w:t>interworking and mobility between 5G NR and 6GR</w:t>
      </w:r>
      <w:r w:rsidR="00475C60" w:rsidRPr="00475C60">
        <w:rPr>
          <w:i/>
          <w:iCs/>
          <w:color w:val="000000" w:themeColor="text1"/>
          <w:lang w:val="fi-FI" w:eastAsia="zh-CN"/>
        </w:rPr>
        <w:t>:</w:t>
      </w:r>
    </w:p>
    <w:p w14:paraId="09237C31" w14:textId="6D72C366" w:rsidR="00475C60" w:rsidRPr="00475C60" w:rsidRDefault="00DE2E67"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Pr>
          <w:i/>
          <w:iCs/>
          <w:color w:val="000000" w:themeColor="text1"/>
          <w:lang w:val="fi-FI" w:eastAsia="zh-CN"/>
        </w:rPr>
        <w:t xml:space="preserve">(a) </w:t>
      </w:r>
      <w:r w:rsidR="00475C60" w:rsidRPr="00475C60">
        <w:rPr>
          <w:i/>
          <w:iCs/>
          <w:color w:val="000000" w:themeColor="text1"/>
          <w:lang w:val="fi-FI" w:eastAsia="zh-CN"/>
        </w:rPr>
        <w:t>5G-6G Multi-RAT Spectrum Sharing for migration [RAN1, RAN2, RAN4, RAN3]</w:t>
      </w:r>
    </w:p>
    <w:p w14:paraId="316027FD" w14:textId="765A4708" w:rsidR="00475C60" w:rsidRPr="00475C60" w:rsidRDefault="00B70092"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Pr>
          <w:i/>
          <w:iCs/>
          <w:color w:val="000000" w:themeColor="text1"/>
          <w:lang w:val="fi-FI" w:eastAsia="zh-CN"/>
        </w:rPr>
        <w:t>(b)</w:t>
      </w:r>
      <w:r w:rsidR="00475C60" w:rsidRPr="00475C60">
        <w:rPr>
          <w:i/>
          <w:iCs/>
          <w:color w:val="000000" w:themeColor="text1"/>
          <w:lang w:val="fi-FI" w:eastAsia="zh-CN"/>
        </w:rPr>
        <w:t>Study if any additional migration option(s) is needed (other than standalone, MRSS, and inter-RAT mobility between NR-6G). [RAN] [RAN2, RAN1, RAN3, RAN4]</w:t>
      </w:r>
    </w:p>
    <w:p w14:paraId="50EAD3A0" w14:textId="3E3D4C9F" w:rsidR="00475C60" w:rsidRPr="00475C60" w:rsidRDefault="00475C60"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sidRPr="00475C60">
        <w:rPr>
          <w:i/>
          <w:iCs/>
          <w:color w:val="000000" w:themeColor="text1"/>
          <w:lang w:val="fi-FI" w:eastAsia="zh-CN"/>
        </w:rPr>
        <w:t>RAN plenary starts this study in March 2026 and will make a decision by September 2026 whether to expand WG SI scope to cover additional migration option(s).</w:t>
      </w:r>
    </w:p>
    <w:p w14:paraId="5BC57C3D" w14:textId="138348CD" w:rsidR="00475C60" w:rsidRPr="00475C60" w:rsidRDefault="00951749"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sidRPr="00F64B37">
        <w:rPr>
          <w:i/>
          <w:iCs/>
          <w:color w:val="000000" w:themeColor="text1"/>
          <w:highlight w:val="yellow"/>
          <w:lang w:val="fi-FI" w:eastAsia="zh-CN"/>
        </w:rPr>
        <w:t>(b)</w:t>
      </w:r>
      <w:r w:rsidR="00475C60" w:rsidRPr="00F64B37">
        <w:rPr>
          <w:i/>
          <w:iCs/>
          <w:color w:val="000000" w:themeColor="text1"/>
          <w:highlight w:val="yellow"/>
          <w:lang w:val="fi-FI" w:eastAsia="zh-CN"/>
        </w:rPr>
        <w:t>Mobility between 5G NR and 6GR [RAN2, RAN3, RAN4]</w:t>
      </w:r>
    </w:p>
    <w:p w14:paraId="6E249AE4" w14:textId="77777777" w:rsidR="00E83D6B" w:rsidRDefault="00E83D6B" w:rsidP="00187A53">
      <w:pPr>
        <w:jc w:val="both"/>
      </w:pPr>
    </w:p>
    <w:p w14:paraId="514677AB" w14:textId="56BEBB4F" w:rsidR="00560F3C" w:rsidRDefault="00B0104C" w:rsidP="00187A53">
      <w:pPr>
        <w:jc w:val="both"/>
      </w:pPr>
      <w:r>
        <w:t xml:space="preserve">Mobility of UE between 5G NR and 6GR will be of vital importance because for 6GR is likely to be deployed initially in newer spectrums whereas 5G NR radio access network will continue to operate on existing spectrum bands. </w:t>
      </w:r>
    </w:p>
    <w:p w14:paraId="135820D7" w14:textId="77777777" w:rsidR="0048192E" w:rsidRDefault="00B0104C" w:rsidP="00187A53">
      <w:pPr>
        <w:jc w:val="both"/>
      </w:pPr>
      <w:r>
        <w:t xml:space="preserve">Both 5G and 6G radio access networks will have a mix of different types of cells – Macro cells for wide area coverage and small cells for local area coverage. Thus, a 5G small cell can be a neighbour to 6G macro cell and similarly a 6G small cell can also be a neighbour to 5G macro cell. </w:t>
      </w:r>
      <w:r w:rsidR="0048192E" w:rsidRPr="007A459B">
        <w:rPr>
          <w:b/>
        </w:rPr>
        <w:t>To address such heterogeneous deployment scenarios, it is important to build greater control for Inter-RAT mobility on a per neighbour basis</w:t>
      </w:r>
      <w:r w:rsidR="0048192E">
        <w:t xml:space="preserve">.  </w:t>
      </w:r>
    </w:p>
    <w:p w14:paraId="0E62F926" w14:textId="21473EF6" w:rsidR="00B0104C" w:rsidRDefault="0048192E" w:rsidP="00187A53">
      <w:pPr>
        <w:jc w:val="both"/>
      </w:pPr>
      <w:r>
        <w:t xml:space="preserve">This submission describes the lessons learnt from 4G to 5G mobility and how the learnings can be incorporated early into 6GR specifications. </w:t>
      </w:r>
    </w:p>
    <w:p w14:paraId="596CFB9F" w14:textId="7B87538E" w:rsidR="005922DD" w:rsidRPr="00056D04" w:rsidRDefault="005922DD" w:rsidP="00187A53">
      <w:pPr>
        <w:jc w:val="both"/>
      </w:pPr>
      <w:r w:rsidRPr="00056D04">
        <w:t xml:space="preserve"> </w:t>
      </w:r>
    </w:p>
    <w:p w14:paraId="0302862A" w14:textId="119D6919" w:rsidR="00C339B0" w:rsidRDefault="00C339B0" w:rsidP="00D94E34">
      <w:pPr>
        <w:pStyle w:val="Heading1"/>
        <w:rPr>
          <w:lang w:val="en-US"/>
        </w:rPr>
      </w:pPr>
      <w:r w:rsidRPr="00C339B0">
        <w:rPr>
          <w:lang w:val="en-US"/>
        </w:rPr>
        <w:t>Discussion</w:t>
      </w:r>
    </w:p>
    <w:p w14:paraId="34ECD9B3" w14:textId="23BC6B4F" w:rsidR="00B0104C" w:rsidRDefault="007A459B" w:rsidP="00E913C1">
      <w:pPr>
        <w:pStyle w:val="maintext"/>
        <w:ind w:firstLine="480"/>
      </w:pPr>
      <w:r>
        <w:t xml:space="preserve">It is customary to use </w:t>
      </w:r>
      <w:r w:rsidR="00175480">
        <w:t>cell specific offset, also referred to as</w:t>
      </w:r>
      <w:r w:rsidR="00E83D6B">
        <w:rPr>
          <w:lang w:val="en-US"/>
        </w:rPr>
        <w:t xml:space="preserve"> </w:t>
      </w:r>
      <w:r w:rsidR="00175480">
        <w:t>Cell Individual Offset</w:t>
      </w:r>
      <w:r w:rsidR="00E83D6B">
        <w:rPr>
          <w:lang w:val="en-US"/>
        </w:rPr>
        <w:t xml:space="preserve"> (CIO)</w:t>
      </w:r>
      <w:r w:rsidR="00175480">
        <w:t xml:space="preserve"> over and above the mobility events like A3 to control intra-frequency, intra-RAT mobility with a specific neighbour cell where UE mobility is different compared to other neighbours. For example, a the</w:t>
      </w:r>
      <w:r w:rsidR="00E83D6B">
        <w:rPr>
          <w:lang w:val="en-US"/>
        </w:rPr>
        <w:t xml:space="preserve"> CIO</w:t>
      </w:r>
      <w:r w:rsidR="00175480">
        <w:t xml:space="preserve"> for a neighbour serving a train route or a highway can be configured such that handover to this neighbour happens faster compared to the other neighbours which are serving residential areas.</w:t>
      </w:r>
    </w:p>
    <w:p w14:paraId="527803F9" w14:textId="613D590F" w:rsidR="00B0104C" w:rsidRPr="00E83D6B" w:rsidRDefault="00175480" w:rsidP="00E913C1">
      <w:pPr>
        <w:pStyle w:val="maintext"/>
        <w:ind w:firstLine="480"/>
        <w:rPr>
          <w:i/>
        </w:rPr>
      </w:pPr>
      <w:r>
        <w:lastRenderedPageBreak/>
        <w:t xml:space="preserve">The same parameter </w:t>
      </w:r>
      <w:r w:rsidR="00E83D6B">
        <w:rPr>
          <w:lang w:val="en-US"/>
        </w:rPr>
        <w:t>CIO</w:t>
      </w:r>
      <w:r>
        <w:t xml:space="preserve"> can also be used to control inter-RAT mobility to a specific inter-RAT neighbour. </w:t>
      </w:r>
      <w:r w:rsidR="004B4885">
        <w:t xml:space="preserve">However, in </w:t>
      </w:r>
      <w:r w:rsidR="00B0104C">
        <w:t xml:space="preserve">LTE Release 15, 3GPP Specification 36.331 does not support CIO (cell individual offset) for </w:t>
      </w:r>
      <w:r w:rsidR="004B4885">
        <w:t>5G neighbours. This lack of standardization can result in</w:t>
      </w:r>
      <w:r w:rsidR="00B0104C">
        <w:t xml:space="preserve"> cases of ping-pong handovers between LTE</w:t>
      </w:r>
      <w:r w:rsidR="004B4885">
        <w:t xml:space="preserve"> Macro cell</w:t>
      </w:r>
      <w:r w:rsidR="00B0104C">
        <w:t xml:space="preserve"> and NR </w:t>
      </w:r>
      <w:r w:rsidR="004B4885">
        <w:t xml:space="preserve">small </w:t>
      </w:r>
      <w:r w:rsidR="00B0104C">
        <w:t xml:space="preserve">cells </w:t>
      </w:r>
      <w:r w:rsidR="004B4885">
        <w:t xml:space="preserve">as </w:t>
      </w:r>
      <w:r w:rsidR="00B0104C">
        <w:t>have been reported during the deployment of 5G networks.</w:t>
      </w:r>
      <w:r w:rsidR="00B0104C">
        <w:rPr>
          <w:lang w:val="en-GB"/>
        </w:rPr>
        <w:t xml:space="preserve"> </w:t>
      </w:r>
      <w:r w:rsidR="00B0104C" w:rsidRPr="00056D04">
        <w:t xml:space="preserve">This same problem has been discussed </w:t>
      </w:r>
      <w:r w:rsidR="007A459B">
        <w:t>in</w:t>
      </w:r>
      <w:r w:rsidR="00B0104C" w:rsidRPr="00056D04">
        <w:t xml:space="preserve"> 3GPP TSG-RAN2 meeting#121</w:t>
      </w:r>
      <w:r w:rsidR="00E83D6B">
        <w:rPr>
          <w:lang w:val="en-US"/>
        </w:rPr>
        <w:t xml:space="preserve"> [3]</w:t>
      </w:r>
      <w:r w:rsidR="00393810">
        <w:rPr>
          <w:lang w:val="en-US"/>
        </w:rPr>
        <w:t xml:space="preserve"> and </w:t>
      </w:r>
      <w:r w:rsidR="00611B84">
        <w:rPr>
          <w:lang w:val="en-US"/>
        </w:rPr>
        <w:t xml:space="preserve">corrected in LTE Release 16 </w:t>
      </w:r>
      <w:r w:rsidR="00E913C1">
        <w:rPr>
          <w:lang w:val="en-US"/>
        </w:rPr>
        <w:t>[4]</w:t>
      </w:r>
      <w:r w:rsidR="00E83D6B">
        <w:rPr>
          <w:lang w:val="en-US"/>
        </w:rPr>
        <w:t>.</w:t>
      </w:r>
    </w:p>
    <w:p w14:paraId="362421F6" w14:textId="00374BE5" w:rsidR="00DF7AD1" w:rsidRPr="00DF7AD1" w:rsidRDefault="00E913C1" w:rsidP="00E913C1">
      <w:pPr>
        <w:pStyle w:val="Observation"/>
      </w:pPr>
      <w:r>
        <w:rPr>
          <w:lang w:val="en-US"/>
        </w:rPr>
        <w:t xml:space="preserve"> </w:t>
      </w:r>
      <w:r w:rsidR="004B4885">
        <w:t>P</w:t>
      </w:r>
      <w:r w:rsidR="00DF7AD1" w:rsidRPr="00DF7AD1">
        <w:t xml:space="preserve">ing pong inter RAT handover issues between LTE and 5G-NR cells have been reported in a multi-vendor </w:t>
      </w:r>
      <w:r w:rsidR="004B4885">
        <w:t>scenario</w:t>
      </w:r>
      <w:r>
        <w:rPr>
          <w:lang w:val="en-US"/>
        </w:rPr>
        <w:t xml:space="preserve"> because LTE Release 15 did not support the c</w:t>
      </w:r>
      <w:r w:rsidR="00DF7AD1" w:rsidRPr="00DF7AD1">
        <w:t xml:space="preserve">ell individual offset </w:t>
      </w:r>
      <w:r w:rsidR="004B4885">
        <w:t>for 5G neighbours</w:t>
      </w:r>
      <w:r w:rsidR="00DF7AD1" w:rsidRPr="00DF7AD1">
        <w:t>.</w:t>
      </w:r>
    </w:p>
    <w:p w14:paraId="4CC4575F" w14:textId="24066E4B" w:rsidR="005922DD" w:rsidRDefault="00DF7AD1" w:rsidP="00E913C1">
      <w:pPr>
        <w:pStyle w:val="maintext"/>
        <w:ind w:firstLine="480"/>
      </w:pPr>
      <w:r w:rsidRPr="00DF7AD1">
        <w:t xml:space="preserve">To illustrate this issue, consider the following scenario consisting of an LTE macro cell, an NR macro cell, and an NR outdoor small cell (ODSC). </w:t>
      </w:r>
    </w:p>
    <w:p w14:paraId="1E7A1AD4" w14:textId="3A1E6385" w:rsidR="005922DD" w:rsidRDefault="00C605DA" w:rsidP="008766DD">
      <w:pPr>
        <w:pStyle w:val="Observation"/>
        <w:numPr>
          <w:ilvl w:val="0"/>
          <w:numId w:val="0"/>
        </w:numPr>
        <w:rPr>
          <w:b w:val="0"/>
        </w:rPr>
      </w:pPr>
      <w:r>
        <w:rPr>
          <w:b w:val="0"/>
        </w:rPr>
        <w:t xml:space="preserve"> </w:t>
      </w:r>
      <w:r w:rsidR="004018F9" w:rsidRPr="004018F9">
        <w:rPr>
          <w:b w:val="0"/>
          <w:noProof/>
        </w:rPr>
        <w:drawing>
          <wp:inline distT="0" distB="0" distL="0" distR="0" wp14:anchorId="3ADCBB7C" wp14:editId="0F992AFB">
            <wp:extent cx="5975350" cy="3263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75350" cy="3263900"/>
                    </a:xfrm>
                    <a:prstGeom prst="rect">
                      <a:avLst/>
                    </a:prstGeom>
                  </pic:spPr>
                </pic:pic>
              </a:graphicData>
            </a:graphic>
          </wp:inline>
        </w:drawing>
      </w:r>
      <w:r>
        <w:rPr>
          <w:b w:val="0"/>
        </w:rPr>
        <w:t xml:space="preserve"> </w:t>
      </w:r>
    </w:p>
    <w:p w14:paraId="4D63EBC4" w14:textId="77777777" w:rsidR="005922DD" w:rsidRPr="004018F9" w:rsidRDefault="005922DD" w:rsidP="005922DD">
      <w:pPr>
        <w:ind w:firstLine="284"/>
        <w:jc w:val="both"/>
        <w:rPr>
          <w:b/>
          <w:sz w:val="20"/>
          <w:szCs w:val="18"/>
        </w:rPr>
      </w:pPr>
      <w:r w:rsidRPr="004018F9">
        <w:rPr>
          <w:b/>
          <w:sz w:val="20"/>
          <w:szCs w:val="18"/>
        </w:rPr>
        <w:t>Figure 1. Different classes of 5G HetNet Cells with differing thresholds for 5G to 4G HO</w:t>
      </w:r>
    </w:p>
    <w:p w14:paraId="1A15B7F3" w14:textId="77777777" w:rsidR="005922DD" w:rsidRDefault="005922DD" w:rsidP="008766DD">
      <w:pPr>
        <w:pStyle w:val="Observation"/>
        <w:numPr>
          <w:ilvl w:val="0"/>
          <w:numId w:val="0"/>
        </w:numPr>
        <w:rPr>
          <w:b w:val="0"/>
        </w:rPr>
      </w:pPr>
    </w:p>
    <w:p w14:paraId="50F2112D" w14:textId="77777777" w:rsidR="005922DD" w:rsidRDefault="005922DD" w:rsidP="00E913C1">
      <w:pPr>
        <w:pStyle w:val="maintext"/>
        <w:ind w:firstLine="480"/>
      </w:pPr>
      <w:r>
        <w:t>Figure 1 illustrates that the Threshold 2 (B2 T2) is a common configuration in LTE base stations for all 5G cells. The value is selected to enable a 5dB difference with Threshold 1 (B2 T1) for one of the most common classes of 5G NR base stations, providing a sufficient margin to avoid successive ping-pong handovers between LTE and NR cells. This is demonstrated using the LTE and NR macro cells in Figure 1.</w:t>
      </w:r>
    </w:p>
    <w:p w14:paraId="7189C76F" w14:textId="77777777" w:rsidR="005922DD" w:rsidRDefault="005922DD" w:rsidP="00E913C1">
      <w:pPr>
        <w:pStyle w:val="maintext"/>
        <w:ind w:firstLine="480"/>
      </w:pPr>
      <w:r>
        <w:t>However, another class of 5G base station exists, shown as the 5G small cell in Figure 1. The threshold 1 (B2 T1) for 5G small cells is higher than the threshold 2 (B2 T2) configured for NR in LTE base stations. Therefore, when a multi-RAT UE moves out of the 5G small cell coverage, it enters a zone where the measurement quality of its primary cell drops below the threshold (B2 T1), resulting in a handover initiated to the LTE macro cell for connected UEs in this zone.</w:t>
      </w:r>
    </w:p>
    <w:p w14:paraId="4DB4D03B" w14:textId="77777777" w:rsidR="005922DD" w:rsidRDefault="005922DD" w:rsidP="00E913C1">
      <w:pPr>
        <w:pStyle w:val="maintext"/>
        <w:ind w:firstLine="480"/>
      </w:pPr>
      <w:r>
        <w:lastRenderedPageBreak/>
        <w:t>However, the LTE base station observes that the measurement quality of the inter-RAT neighbour NR cell is still better than the common threshold 2 (B2 T2) value and thus initiates a handover back to the 5G small cell. This creates a perpetual set of inter-RAT HOs between LTE macro &amp; NR small cell.</w:t>
      </w:r>
    </w:p>
    <w:p w14:paraId="153032EE" w14:textId="3B5DD242" w:rsidR="005922DD" w:rsidRPr="005922DD" w:rsidRDefault="00E913C1" w:rsidP="00E913C1">
      <w:pPr>
        <w:pStyle w:val="Observation"/>
        <w:rPr>
          <w:lang w:val="en-GB"/>
        </w:rPr>
      </w:pPr>
      <w:r>
        <w:rPr>
          <w:rFonts w:eastAsiaTheme="minorHAnsi"/>
          <w:lang w:val="en-US" w:eastAsia="en-US"/>
        </w:rPr>
        <w:t xml:space="preserve"> </w:t>
      </w:r>
      <w:r w:rsidR="00FC690C" w:rsidRPr="00FC690C">
        <w:rPr>
          <w:rFonts w:eastAsiaTheme="minorHAnsi"/>
          <w:lang w:eastAsia="en-US"/>
        </w:rPr>
        <w:t xml:space="preserve">The above illustrated inter-RAT ping-pong HO between LTE &amp; NR cells can be handled correctly at the LTE base station by configuring different </w:t>
      </w:r>
      <w:r>
        <w:rPr>
          <w:rFonts w:eastAsiaTheme="minorHAnsi"/>
          <w:lang w:val="en-US" w:eastAsia="en-US"/>
        </w:rPr>
        <w:t xml:space="preserve">CIO </w:t>
      </w:r>
      <w:r w:rsidR="00FC690C" w:rsidRPr="00FC690C">
        <w:rPr>
          <w:rFonts w:eastAsiaTheme="minorHAnsi"/>
          <w:lang w:eastAsia="en-US"/>
        </w:rPr>
        <w:t>for different types of 5G neighbours as shown in Figure 2. It should be noted that the CIO for LTE measurement objects is already specified in NR RRC specifications.</w:t>
      </w:r>
      <w:r w:rsidR="00FC690C">
        <w:rPr>
          <w:rFonts w:eastAsiaTheme="minorHAnsi"/>
          <w:lang w:eastAsia="en-US"/>
        </w:rPr>
        <w:t xml:space="preserve"> </w:t>
      </w:r>
      <w:r w:rsidR="005922DD" w:rsidRPr="005922DD">
        <w:rPr>
          <w:rFonts w:eastAsiaTheme="minorHAnsi"/>
          <w:lang w:eastAsia="en-US"/>
        </w:rPr>
        <w:t xml:space="preserve"> </w:t>
      </w:r>
    </w:p>
    <w:p w14:paraId="33A136A1" w14:textId="77777777" w:rsidR="004018F9" w:rsidRDefault="00C605DA" w:rsidP="008766DD">
      <w:pPr>
        <w:pStyle w:val="Observation"/>
        <w:numPr>
          <w:ilvl w:val="0"/>
          <w:numId w:val="0"/>
        </w:numPr>
        <w:rPr>
          <w:b w:val="0"/>
          <w:lang w:val="en-GB"/>
        </w:rPr>
      </w:pPr>
      <w:r>
        <w:rPr>
          <w:b w:val="0"/>
        </w:rPr>
        <w:t xml:space="preserve"> </w:t>
      </w:r>
      <w:r w:rsidR="004018F9" w:rsidRPr="004018F9">
        <w:rPr>
          <w:b w:val="0"/>
          <w:noProof/>
        </w:rPr>
        <w:drawing>
          <wp:inline distT="0" distB="0" distL="0" distR="0" wp14:anchorId="02CDDAE4" wp14:editId="028D81A3">
            <wp:extent cx="6134100" cy="335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34100" cy="3359150"/>
                    </a:xfrm>
                    <a:prstGeom prst="rect">
                      <a:avLst/>
                    </a:prstGeom>
                  </pic:spPr>
                </pic:pic>
              </a:graphicData>
            </a:graphic>
          </wp:inline>
        </w:drawing>
      </w:r>
      <w:r>
        <w:rPr>
          <w:b w:val="0"/>
        </w:rPr>
        <w:t xml:space="preserve"> </w:t>
      </w:r>
      <w:r w:rsidR="0060023A" w:rsidRPr="0060023A">
        <w:rPr>
          <w:b w:val="0"/>
          <w:lang w:val="en-GB"/>
        </w:rPr>
        <w:t xml:space="preserve">  </w:t>
      </w:r>
    </w:p>
    <w:p w14:paraId="1E1015B1" w14:textId="215CCC93" w:rsidR="00344372" w:rsidRPr="004018F9" w:rsidRDefault="004018F9" w:rsidP="004018F9">
      <w:pPr>
        <w:ind w:firstLine="284"/>
        <w:jc w:val="both"/>
        <w:rPr>
          <w:b/>
          <w:sz w:val="20"/>
          <w:szCs w:val="18"/>
        </w:rPr>
      </w:pPr>
      <w:r w:rsidRPr="004018F9">
        <w:rPr>
          <w:b/>
          <w:sz w:val="20"/>
          <w:szCs w:val="18"/>
        </w:rPr>
        <w:t>Figure 2. Different classes of 5G HetNet Cells with Cell Individual offset configuration</w:t>
      </w:r>
      <w:r w:rsidR="0060023A" w:rsidRPr="004018F9">
        <w:rPr>
          <w:b/>
        </w:rPr>
        <w:t xml:space="preserve">   </w:t>
      </w:r>
    </w:p>
    <w:p w14:paraId="773AA9A0" w14:textId="5D3849A6" w:rsidR="00706A36" w:rsidRDefault="00E913C1" w:rsidP="00E913C1">
      <w:pPr>
        <w:pStyle w:val="Proposal"/>
      </w:pPr>
      <w:r>
        <w:rPr>
          <w:lang w:val="en-US"/>
        </w:rPr>
        <w:t xml:space="preserve"> RAN2 should discuss whether cell-pair specific mobility parameter configuration needs to be introduced in 6GR mobility for 5G neighbors.</w:t>
      </w:r>
    </w:p>
    <w:p w14:paraId="1EF7838E" w14:textId="55983C00" w:rsidR="006F5FF5" w:rsidRPr="006F5FF5" w:rsidRDefault="006F5FF5" w:rsidP="000F431E">
      <w:pPr>
        <w:pStyle w:val="maintext"/>
        <w:ind w:firstLine="480"/>
        <w:rPr>
          <w:b/>
        </w:rPr>
      </w:pPr>
      <w:r w:rsidRPr="006F5FF5">
        <w:t xml:space="preserve">If the </w:t>
      </w:r>
      <w:r w:rsidR="00E913C1" w:rsidRPr="007876C9">
        <w:rPr>
          <w:bCs/>
          <w:lang w:val="en-US"/>
        </w:rPr>
        <w:t>cell-pair specific</w:t>
      </w:r>
      <w:r w:rsidRPr="007876C9">
        <w:rPr>
          <w:bCs/>
        </w:rPr>
        <w:t xml:space="preserve"> </w:t>
      </w:r>
      <w:r w:rsidR="00E913C1" w:rsidRPr="007876C9">
        <w:rPr>
          <w:bCs/>
          <w:lang w:val="en-US"/>
        </w:rPr>
        <w:t>mobility</w:t>
      </w:r>
      <w:r w:rsidR="00E913C1">
        <w:rPr>
          <w:b/>
          <w:lang w:val="en-US"/>
        </w:rPr>
        <w:t xml:space="preserve"> </w:t>
      </w:r>
      <w:r w:rsidRPr="006F5FF5">
        <w:t xml:space="preserve">parameter </w:t>
      </w:r>
      <w:r w:rsidR="00E913C1" w:rsidRPr="007876C9">
        <w:rPr>
          <w:bCs/>
          <w:lang w:val="en-US"/>
        </w:rPr>
        <w:t xml:space="preserve">configuration </w:t>
      </w:r>
      <w:r w:rsidRPr="007876C9">
        <w:rPr>
          <w:bCs/>
        </w:rPr>
        <w:t>for 6G neighbours in 5G specifications is considered from the very beginning of 6G specifications,</w:t>
      </w:r>
      <w:r w:rsidRPr="006F5FF5">
        <w:t xml:space="preserve"> the issue of ping-pong handovers described in observation 1 can be avoided when 6G is deployed.</w:t>
      </w:r>
    </w:p>
    <w:p w14:paraId="779B5D18" w14:textId="04BED7C2" w:rsidR="00C339B0" w:rsidRDefault="00C339B0" w:rsidP="00C339B0">
      <w:pPr>
        <w:pStyle w:val="Heading1"/>
        <w:rPr>
          <w:lang w:val="en-US"/>
        </w:rPr>
      </w:pPr>
      <w:r>
        <w:rPr>
          <w:lang w:val="en-US"/>
        </w:rPr>
        <w:t>Conclusion</w:t>
      </w:r>
    </w:p>
    <w:p w14:paraId="647D479C" w14:textId="33CD489A" w:rsidR="00C912E7" w:rsidRPr="00C912E7" w:rsidRDefault="00C912E7" w:rsidP="00C912E7">
      <w:pPr>
        <w:rPr>
          <w:b/>
          <w:bCs/>
        </w:rPr>
      </w:pPr>
      <w:r w:rsidRPr="00C912E7">
        <w:rPr>
          <w:b/>
          <w:bCs/>
        </w:rPr>
        <w:t>Observation 1:</w:t>
      </w:r>
      <w:r w:rsidRPr="00C912E7">
        <w:rPr>
          <w:b/>
          <w:bCs/>
        </w:rPr>
        <w:tab/>
        <w:t xml:space="preserve"> Ping pong inter RAT handover issues between LTE and 5G-NR cells have been reported in a multi-vendor scenario because LTE Release 15 did not support the cell individual offset for 5G neighbours.</w:t>
      </w:r>
    </w:p>
    <w:p w14:paraId="334E985F" w14:textId="23F0EE4B" w:rsidR="00C912E7" w:rsidRDefault="00C912E7" w:rsidP="00C912E7">
      <w:pPr>
        <w:rPr>
          <w:b/>
          <w:bCs/>
          <w:lang w:val="en-GB"/>
        </w:rPr>
      </w:pPr>
      <w:r w:rsidRPr="00C912E7">
        <w:rPr>
          <w:b/>
          <w:bCs/>
          <w:lang w:val="en-GB"/>
        </w:rPr>
        <w:t>Observation 2:</w:t>
      </w:r>
      <w:r w:rsidRPr="00C912E7">
        <w:rPr>
          <w:b/>
          <w:bCs/>
          <w:lang w:val="en-GB"/>
        </w:rPr>
        <w:tab/>
        <w:t xml:space="preserve"> The above illustrated inter-RAT ping-pong HO between LTE &amp; NR cells can be handled correctly at the LTE base station by configuring different CIO for different types of 5G </w:t>
      </w:r>
      <w:r w:rsidRPr="00C912E7">
        <w:rPr>
          <w:b/>
          <w:bCs/>
          <w:lang w:val="en-GB"/>
        </w:rPr>
        <w:lastRenderedPageBreak/>
        <w:t xml:space="preserve">neighbours as shown in Figure 2. It should be noted that the CIO for LTE measurement objects is already specified in NR RRC specifications.  </w:t>
      </w:r>
    </w:p>
    <w:p w14:paraId="3135C2EC" w14:textId="6654DF44" w:rsidR="00C912E7" w:rsidRPr="00C912E7" w:rsidRDefault="00C912E7" w:rsidP="00C912E7">
      <w:pPr>
        <w:rPr>
          <w:b/>
          <w:bCs/>
        </w:rPr>
      </w:pPr>
      <w:r w:rsidRPr="00C912E7">
        <w:rPr>
          <w:b/>
          <w:bCs/>
        </w:rPr>
        <w:t>Proposal 1:</w:t>
      </w:r>
      <w:r w:rsidRPr="00C912E7">
        <w:rPr>
          <w:b/>
          <w:bCs/>
        </w:rPr>
        <w:tab/>
        <w:t xml:space="preserve"> RAN2 should discuss whether cell-pair specific mobility parameter configuration needs to be introduced in 6GR mobility for 5G neighbors.</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11D56D9C" w14:textId="77777777" w:rsidR="00187708" w:rsidRDefault="00187708" w:rsidP="00187708">
      <w:pPr>
        <w:pStyle w:val="Reference"/>
        <w:rPr>
          <w:lang w:val="en-US"/>
        </w:rPr>
      </w:pPr>
      <w:r w:rsidRPr="00BC64D1">
        <w:rPr>
          <w:lang w:val="en-US"/>
        </w:rPr>
        <w:t>3GPP RAN#108, RP-251881, New SID: Study on 6G Radio</w:t>
      </w:r>
    </w:p>
    <w:p w14:paraId="43DAA7C1" w14:textId="77777777" w:rsidR="00187708" w:rsidRDefault="00187708" w:rsidP="00187708">
      <w:pPr>
        <w:pStyle w:val="Reference"/>
        <w:rPr>
          <w:lang w:val="en-US"/>
        </w:rPr>
      </w:pPr>
      <w:r>
        <w:rPr>
          <w:lang w:val="en-US"/>
        </w:rPr>
        <w:t xml:space="preserve">3GPP RAN#109, </w:t>
      </w:r>
      <w:r w:rsidRPr="00665996">
        <w:rPr>
          <w:lang w:val="en-US"/>
        </w:rPr>
        <w:t>RP-252912</w:t>
      </w:r>
      <w:r>
        <w:rPr>
          <w:lang w:val="en-US"/>
        </w:rPr>
        <w:t xml:space="preserve">, </w:t>
      </w:r>
      <w:r w:rsidRPr="004B6DF6">
        <w:rPr>
          <w:lang w:val="en-US"/>
        </w:rPr>
        <w:t>Revised SID: Study on 6G Radio</w:t>
      </w:r>
    </w:p>
    <w:p w14:paraId="40DE65B0" w14:textId="40DBCAFC" w:rsidR="00187708" w:rsidRDefault="00187708" w:rsidP="00187708">
      <w:pPr>
        <w:pStyle w:val="Reference"/>
        <w:rPr>
          <w:lang w:val="en-US"/>
        </w:rPr>
      </w:pPr>
      <w:r w:rsidRPr="00A74948">
        <w:rPr>
          <w:lang w:val="en-US"/>
        </w:rPr>
        <w:t xml:space="preserve">3GPP RAN#121, </w:t>
      </w:r>
      <w:r w:rsidR="00EC31F6" w:rsidRPr="00A74948">
        <w:rPr>
          <w:lang w:val="en-US"/>
        </w:rPr>
        <w:t xml:space="preserve">R2-2302248, </w:t>
      </w:r>
      <w:r w:rsidR="00A74948" w:rsidRPr="00A74948">
        <w:rPr>
          <w:lang w:val="en-US"/>
        </w:rPr>
        <w:t>Report of [AT121][203][LTE] CIO for Inter-RAT HO from LTE to NR</w:t>
      </w:r>
    </w:p>
    <w:p w14:paraId="6338F066" w14:textId="3D0468FB" w:rsidR="00A74948" w:rsidRPr="00C316AB" w:rsidRDefault="004269C6" w:rsidP="00187708">
      <w:pPr>
        <w:pStyle w:val="Reference"/>
        <w:rPr>
          <w:lang w:val="en-US"/>
        </w:rPr>
      </w:pPr>
      <w:r w:rsidRPr="00A74948">
        <w:rPr>
          <w:lang w:val="en-US"/>
        </w:rPr>
        <w:t>3GPP RAN#121</w:t>
      </w:r>
      <w:r>
        <w:rPr>
          <w:lang w:val="en-US"/>
        </w:rPr>
        <w:t xml:space="preserve">, </w:t>
      </w:r>
      <w:r w:rsidR="00335EBA" w:rsidRPr="00335EBA">
        <w:rPr>
          <w:lang w:val="en-US"/>
        </w:rPr>
        <w:t>R2-2301928</w:t>
      </w:r>
      <w:r>
        <w:rPr>
          <w:lang w:val="en-US"/>
        </w:rPr>
        <w:t xml:space="preserve">, </w:t>
      </w:r>
      <w:r w:rsidR="00D061B9" w:rsidRPr="00D061B9">
        <w:rPr>
          <w:lang w:val="en-US"/>
        </w:rPr>
        <w:t>Introduction of cell-specific offset for inter-RAT measurement in LTE for NR neighbors</w:t>
      </w:r>
    </w:p>
    <w:p w14:paraId="734FF96A" w14:textId="3103C11C"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0F6C2" w14:textId="77777777" w:rsidR="001538AD" w:rsidRDefault="001538AD">
      <w:r>
        <w:separator/>
      </w:r>
    </w:p>
  </w:endnote>
  <w:endnote w:type="continuationSeparator" w:id="0">
    <w:p w14:paraId="48EC8E74" w14:textId="77777777" w:rsidR="001538AD" w:rsidRDefault="001538AD">
      <w:r>
        <w:continuationSeparator/>
      </w:r>
    </w:p>
  </w:endnote>
  <w:endnote w:type="continuationNotice" w:id="1">
    <w:p w14:paraId="480058B2" w14:textId="77777777" w:rsidR="001538AD" w:rsidRDefault="00153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D0900" w14:textId="77777777" w:rsidR="001538AD" w:rsidRDefault="001538AD">
      <w:r>
        <w:separator/>
      </w:r>
    </w:p>
  </w:footnote>
  <w:footnote w:type="continuationSeparator" w:id="0">
    <w:p w14:paraId="0D6AD6D7" w14:textId="77777777" w:rsidR="001538AD" w:rsidRDefault="001538AD">
      <w:r>
        <w:continuationSeparator/>
      </w:r>
    </w:p>
  </w:footnote>
  <w:footnote w:type="continuationNotice" w:id="1">
    <w:p w14:paraId="386488BB" w14:textId="77777777" w:rsidR="001538AD" w:rsidRDefault="001538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45AF"/>
    <w:multiLevelType w:val="hybridMultilevel"/>
    <w:tmpl w:val="3D2E8402"/>
    <w:lvl w:ilvl="0" w:tplc="0CDEF270">
      <w:start w:val="4"/>
      <w:numFmt w:val="decimal"/>
      <w:lvlText w:val="(%1)"/>
      <w:lvlJc w:val="left"/>
      <w:pPr>
        <w:ind w:left="720" w:hanging="360"/>
      </w:pPr>
      <w:rPr>
        <w:rFonts w:ascii="Times New Roman" w:eastAsia="Malgun Gothic" w:hAnsi="Times New Roman" w:cs="Times New Roman" w:hint="eastAsia"/>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3C70A2A"/>
    <w:multiLevelType w:val="hybridMultilevel"/>
    <w:tmpl w:val="43D016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AE31C2"/>
    <w:multiLevelType w:val="hybridMultilevel"/>
    <w:tmpl w:val="5930E1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8CA5F0C"/>
    <w:multiLevelType w:val="hybridMultilevel"/>
    <w:tmpl w:val="2954CA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4AD5C89"/>
    <w:multiLevelType w:val="hybridMultilevel"/>
    <w:tmpl w:val="8B4EC782"/>
    <w:lvl w:ilvl="0" w:tplc="40090001">
      <w:start w:val="1"/>
      <w:numFmt w:val="bullet"/>
      <w:lvlText w:val=""/>
      <w:lvlJc w:val="left"/>
      <w:pPr>
        <w:ind w:left="811" w:hanging="360"/>
      </w:pPr>
      <w:rPr>
        <w:rFonts w:ascii="Symbol" w:hAnsi="Symbol" w:hint="default"/>
      </w:rPr>
    </w:lvl>
    <w:lvl w:ilvl="1" w:tplc="40090003" w:tentative="1">
      <w:start w:val="1"/>
      <w:numFmt w:val="bullet"/>
      <w:lvlText w:val="o"/>
      <w:lvlJc w:val="left"/>
      <w:pPr>
        <w:ind w:left="1531" w:hanging="360"/>
      </w:pPr>
      <w:rPr>
        <w:rFonts w:ascii="Courier New" w:hAnsi="Courier New" w:cs="Courier New" w:hint="default"/>
      </w:rPr>
    </w:lvl>
    <w:lvl w:ilvl="2" w:tplc="40090005" w:tentative="1">
      <w:start w:val="1"/>
      <w:numFmt w:val="bullet"/>
      <w:lvlText w:val=""/>
      <w:lvlJc w:val="left"/>
      <w:pPr>
        <w:ind w:left="2251" w:hanging="360"/>
      </w:pPr>
      <w:rPr>
        <w:rFonts w:ascii="Wingdings" w:hAnsi="Wingdings" w:hint="default"/>
      </w:rPr>
    </w:lvl>
    <w:lvl w:ilvl="3" w:tplc="40090001" w:tentative="1">
      <w:start w:val="1"/>
      <w:numFmt w:val="bullet"/>
      <w:lvlText w:val=""/>
      <w:lvlJc w:val="left"/>
      <w:pPr>
        <w:ind w:left="2971" w:hanging="360"/>
      </w:pPr>
      <w:rPr>
        <w:rFonts w:ascii="Symbol" w:hAnsi="Symbol" w:hint="default"/>
      </w:rPr>
    </w:lvl>
    <w:lvl w:ilvl="4" w:tplc="40090003" w:tentative="1">
      <w:start w:val="1"/>
      <w:numFmt w:val="bullet"/>
      <w:lvlText w:val="o"/>
      <w:lvlJc w:val="left"/>
      <w:pPr>
        <w:ind w:left="3691" w:hanging="360"/>
      </w:pPr>
      <w:rPr>
        <w:rFonts w:ascii="Courier New" w:hAnsi="Courier New" w:cs="Courier New" w:hint="default"/>
      </w:rPr>
    </w:lvl>
    <w:lvl w:ilvl="5" w:tplc="40090005" w:tentative="1">
      <w:start w:val="1"/>
      <w:numFmt w:val="bullet"/>
      <w:lvlText w:val=""/>
      <w:lvlJc w:val="left"/>
      <w:pPr>
        <w:ind w:left="4411" w:hanging="360"/>
      </w:pPr>
      <w:rPr>
        <w:rFonts w:ascii="Wingdings" w:hAnsi="Wingdings" w:hint="default"/>
      </w:rPr>
    </w:lvl>
    <w:lvl w:ilvl="6" w:tplc="40090001" w:tentative="1">
      <w:start w:val="1"/>
      <w:numFmt w:val="bullet"/>
      <w:lvlText w:val=""/>
      <w:lvlJc w:val="left"/>
      <w:pPr>
        <w:ind w:left="5131" w:hanging="360"/>
      </w:pPr>
      <w:rPr>
        <w:rFonts w:ascii="Symbol" w:hAnsi="Symbol" w:hint="default"/>
      </w:rPr>
    </w:lvl>
    <w:lvl w:ilvl="7" w:tplc="40090003" w:tentative="1">
      <w:start w:val="1"/>
      <w:numFmt w:val="bullet"/>
      <w:lvlText w:val="o"/>
      <w:lvlJc w:val="left"/>
      <w:pPr>
        <w:ind w:left="5851" w:hanging="360"/>
      </w:pPr>
      <w:rPr>
        <w:rFonts w:ascii="Courier New" w:hAnsi="Courier New" w:cs="Courier New" w:hint="default"/>
      </w:rPr>
    </w:lvl>
    <w:lvl w:ilvl="8" w:tplc="40090005" w:tentative="1">
      <w:start w:val="1"/>
      <w:numFmt w:val="bullet"/>
      <w:lvlText w:val=""/>
      <w:lvlJc w:val="left"/>
      <w:pPr>
        <w:ind w:left="6571" w:hanging="360"/>
      </w:pPr>
      <w:rPr>
        <w:rFonts w:ascii="Wingdings" w:hAnsi="Wingdings" w:hint="default"/>
      </w:rPr>
    </w:lvl>
  </w:abstractNum>
  <w:abstractNum w:abstractNumId="16" w15:restartNumberingAfterBreak="0">
    <w:nsid w:val="775E22C7"/>
    <w:multiLevelType w:val="hybridMultilevel"/>
    <w:tmpl w:val="BF8A83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3421950">
    <w:abstractNumId w:val="5"/>
  </w:num>
  <w:num w:numId="2" w16cid:durableId="1444568603">
    <w:abstractNumId w:val="9"/>
  </w:num>
  <w:num w:numId="3" w16cid:durableId="157423551">
    <w:abstractNumId w:val="2"/>
  </w:num>
  <w:num w:numId="4" w16cid:durableId="95029132">
    <w:abstractNumId w:val="8"/>
  </w:num>
  <w:num w:numId="5" w16cid:durableId="858811518">
    <w:abstractNumId w:val="4"/>
  </w:num>
  <w:num w:numId="6" w16cid:durableId="1120028327">
    <w:abstractNumId w:val="3"/>
  </w:num>
  <w:num w:numId="7" w16cid:durableId="1811635693">
    <w:abstractNumId w:val="10"/>
  </w:num>
  <w:num w:numId="8" w16cid:durableId="164446505">
    <w:abstractNumId w:val="6"/>
  </w:num>
  <w:num w:numId="9" w16cid:durableId="856773549">
    <w:abstractNumId w:val="11"/>
  </w:num>
  <w:num w:numId="10" w16cid:durableId="851186766">
    <w:abstractNumId w:val="6"/>
  </w:num>
  <w:num w:numId="11" w16cid:durableId="2015256214">
    <w:abstractNumId w:val="10"/>
  </w:num>
  <w:num w:numId="12" w16cid:durableId="1892031608">
    <w:abstractNumId w:val="6"/>
  </w:num>
  <w:num w:numId="13" w16cid:durableId="2061901216">
    <w:abstractNumId w:val="7"/>
  </w:num>
  <w:num w:numId="14" w16cid:durableId="1047997261">
    <w:abstractNumId w:val="14"/>
  </w:num>
  <w:num w:numId="15" w16cid:durableId="1166898691">
    <w:abstractNumId w:val="3"/>
  </w:num>
  <w:num w:numId="16" w16cid:durableId="651712807">
    <w:abstractNumId w:val="1"/>
  </w:num>
  <w:num w:numId="17" w16cid:durableId="277568532">
    <w:abstractNumId w:val="16"/>
  </w:num>
  <w:num w:numId="18" w16cid:durableId="1102795999">
    <w:abstractNumId w:val="13"/>
  </w:num>
  <w:num w:numId="19" w16cid:durableId="280455075">
    <w:abstractNumId w:val="12"/>
  </w:num>
  <w:num w:numId="20" w16cid:durableId="669253667">
    <w:abstractNumId w:val="15"/>
  </w:num>
  <w:num w:numId="21" w16cid:durableId="93363600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da-DK"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7F3"/>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6D69"/>
    <w:rsid w:val="00027755"/>
    <w:rsid w:val="000277D6"/>
    <w:rsid w:val="00027864"/>
    <w:rsid w:val="0002789E"/>
    <w:rsid w:val="00027F2D"/>
    <w:rsid w:val="00030048"/>
    <w:rsid w:val="0003072D"/>
    <w:rsid w:val="000314CD"/>
    <w:rsid w:val="00032455"/>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6D04"/>
    <w:rsid w:val="00057F20"/>
    <w:rsid w:val="00060563"/>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5A9"/>
    <w:rsid w:val="00085A2D"/>
    <w:rsid w:val="000870C3"/>
    <w:rsid w:val="000877DA"/>
    <w:rsid w:val="000902C2"/>
    <w:rsid w:val="00090989"/>
    <w:rsid w:val="00091A92"/>
    <w:rsid w:val="00093828"/>
    <w:rsid w:val="00093C49"/>
    <w:rsid w:val="00095A80"/>
    <w:rsid w:val="0009607C"/>
    <w:rsid w:val="000973E1"/>
    <w:rsid w:val="00097700"/>
    <w:rsid w:val="000A1402"/>
    <w:rsid w:val="000A1DC2"/>
    <w:rsid w:val="000A20BA"/>
    <w:rsid w:val="000A231F"/>
    <w:rsid w:val="000A245A"/>
    <w:rsid w:val="000A262C"/>
    <w:rsid w:val="000A26B5"/>
    <w:rsid w:val="000A3C8D"/>
    <w:rsid w:val="000A3DFE"/>
    <w:rsid w:val="000A40EC"/>
    <w:rsid w:val="000A54EE"/>
    <w:rsid w:val="000A5C8E"/>
    <w:rsid w:val="000A65AD"/>
    <w:rsid w:val="000A6A23"/>
    <w:rsid w:val="000A7BC5"/>
    <w:rsid w:val="000B0270"/>
    <w:rsid w:val="000B04D3"/>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23"/>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31E"/>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319"/>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0FB"/>
    <w:rsid w:val="00145B99"/>
    <w:rsid w:val="001467B1"/>
    <w:rsid w:val="00147276"/>
    <w:rsid w:val="00147693"/>
    <w:rsid w:val="001500E3"/>
    <w:rsid w:val="00150175"/>
    <w:rsid w:val="001502C8"/>
    <w:rsid w:val="00151011"/>
    <w:rsid w:val="00151224"/>
    <w:rsid w:val="0015130F"/>
    <w:rsid w:val="00151BC6"/>
    <w:rsid w:val="001532BA"/>
    <w:rsid w:val="001538AD"/>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8CF"/>
    <w:rsid w:val="00165926"/>
    <w:rsid w:val="00166452"/>
    <w:rsid w:val="001665EB"/>
    <w:rsid w:val="001669EE"/>
    <w:rsid w:val="00166D4C"/>
    <w:rsid w:val="001670EA"/>
    <w:rsid w:val="001674A0"/>
    <w:rsid w:val="00170A50"/>
    <w:rsid w:val="001732F1"/>
    <w:rsid w:val="001741BB"/>
    <w:rsid w:val="00174FFD"/>
    <w:rsid w:val="00175480"/>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87708"/>
    <w:rsid w:val="00187A53"/>
    <w:rsid w:val="001905BD"/>
    <w:rsid w:val="00191E79"/>
    <w:rsid w:val="00192FE6"/>
    <w:rsid w:val="0019360B"/>
    <w:rsid w:val="00193986"/>
    <w:rsid w:val="00193B08"/>
    <w:rsid w:val="00194570"/>
    <w:rsid w:val="00194AAE"/>
    <w:rsid w:val="00195C67"/>
    <w:rsid w:val="001962F1"/>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29F4"/>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0B1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39D7"/>
    <w:rsid w:val="0027455B"/>
    <w:rsid w:val="00275074"/>
    <w:rsid w:val="002763E9"/>
    <w:rsid w:val="00276736"/>
    <w:rsid w:val="00276F4E"/>
    <w:rsid w:val="00277450"/>
    <w:rsid w:val="0027773D"/>
    <w:rsid w:val="002778BD"/>
    <w:rsid w:val="002809C7"/>
    <w:rsid w:val="002815FA"/>
    <w:rsid w:val="002824C2"/>
    <w:rsid w:val="00282E8A"/>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3B47"/>
    <w:rsid w:val="002C4711"/>
    <w:rsid w:val="002C47AD"/>
    <w:rsid w:val="002C5510"/>
    <w:rsid w:val="002C56F3"/>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159A"/>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5EBA"/>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372"/>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8A0"/>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81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18F9"/>
    <w:rsid w:val="004023BA"/>
    <w:rsid w:val="004027CE"/>
    <w:rsid w:val="00403148"/>
    <w:rsid w:val="004042C6"/>
    <w:rsid w:val="00405895"/>
    <w:rsid w:val="00406A56"/>
    <w:rsid w:val="00406B4D"/>
    <w:rsid w:val="00407532"/>
    <w:rsid w:val="00407EE0"/>
    <w:rsid w:val="00412853"/>
    <w:rsid w:val="0041443C"/>
    <w:rsid w:val="0041488F"/>
    <w:rsid w:val="004154F7"/>
    <w:rsid w:val="004164A3"/>
    <w:rsid w:val="00416D44"/>
    <w:rsid w:val="004176FF"/>
    <w:rsid w:val="00417A1E"/>
    <w:rsid w:val="004202DD"/>
    <w:rsid w:val="00421A27"/>
    <w:rsid w:val="00421D0A"/>
    <w:rsid w:val="0042222B"/>
    <w:rsid w:val="00422383"/>
    <w:rsid w:val="004226C3"/>
    <w:rsid w:val="0042285A"/>
    <w:rsid w:val="004228BA"/>
    <w:rsid w:val="004241C5"/>
    <w:rsid w:val="00424FA7"/>
    <w:rsid w:val="00425012"/>
    <w:rsid w:val="00425B75"/>
    <w:rsid w:val="00425D2C"/>
    <w:rsid w:val="00426988"/>
    <w:rsid w:val="004269C6"/>
    <w:rsid w:val="00426A87"/>
    <w:rsid w:val="00427007"/>
    <w:rsid w:val="00427970"/>
    <w:rsid w:val="00430074"/>
    <w:rsid w:val="004304B1"/>
    <w:rsid w:val="004304EC"/>
    <w:rsid w:val="004307EC"/>
    <w:rsid w:val="004309D8"/>
    <w:rsid w:val="004313D1"/>
    <w:rsid w:val="0043197F"/>
    <w:rsid w:val="00431A0F"/>
    <w:rsid w:val="00432110"/>
    <w:rsid w:val="00432113"/>
    <w:rsid w:val="00432521"/>
    <w:rsid w:val="004328EE"/>
    <w:rsid w:val="00433EBE"/>
    <w:rsid w:val="00434406"/>
    <w:rsid w:val="004373AD"/>
    <w:rsid w:val="0044020C"/>
    <w:rsid w:val="0044089A"/>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C60"/>
    <w:rsid w:val="00475F88"/>
    <w:rsid w:val="004766BB"/>
    <w:rsid w:val="004766DA"/>
    <w:rsid w:val="00476841"/>
    <w:rsid w:val="00476A55"/>
    <w:rsid w:val="0048076D"/>
    <w:rsid w:val="0048134D"/>
    <w:rsid w:val="00481624"/>
    <w:rsid w:val="00481765"/>
    <w:rsid w:val="0048192E"/>
    <w:rsid w:val="00481D90"/>
    <w:rsid w:val="00482700"/>
    <w:rsid w:val="00482CD4"/>
    <w:rsid w:val="00483261"/>
    <w:rsid w:val="0048328A"/>
    <w:rsid w:val="00484377"/>
    <w:rsid w:val="00484919"/>
    <w:rsid w:val="00484F3E"/>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15A"/>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4885"/>
    <w:rsid w:val="004B605E"/>
    <w:rsid w:val="004B66BF"/>
    <w:rsid w:val="004B6718"/>
    <w:rsid w:val="004B6B25"/>
    <w:rsid w:val="004B6FC1"/>
    <w:rsid w:val="004B7113"/>
    <w:rsid w:val="004B7455"/>
    <w:rsid w:val="004B74FF"/>
    <w:rsid w:val="004B7CE4"/>
    <w:rsid w:val="004C0401"/>
    <w:rsid w:val="004C0464"/>
    <w:rsid w:val="004C0599"/>
    <w:rsid w:val="004C0C49"/>
    <w:rsid w:val="004C1096"/>
    <w:rsid w:val="004C183D"/>
    <w:rsid w:val="004C232F"/>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0B94"/>
    <w:rsid w:val="00501304"/>
    <w:rsid w:val="00501425"/>
    <w:rsid w:val="005016D8"/>
    <w:rsid w:val="00501F9B"/>
    <w:rsid w:val="00502CCE"/>
    <w:rsid w:val="0050318B"/>
    <w:rsid w:val="00503424"/>
    <w:rsid w:val="00503CF2"/>
    <w:rsid w:val="00504311"/>
    <w:rsid w:val="00504694"/>
    <w:rsid w:val="00504719"/>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110"/>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6C5D"/>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0F3C"/>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6768F"/>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2DD"/>
    <w:rsid w:val="00592CDA"/>
    <w:rsid w:val="0059331A"/>
    <w:rsid w:val="00593A72"/>
    <w:rsid w:val="0059425E"/>
    <w:rsid w:val="005942C2"/>
    <w:rsid w:val="00594845"/>
    <w:rsid w:val="005954FB"/>
    <w:rsid w:val="00595A8C"/>
    <w:rsid w:val="00595C2C"/>
    <w:rsid w:val="00596BBA"/>
    <w:rsid w:val="00597386"/>
    <w:rsid w:val="005975C4"/>
    <w:rsid w:val="00597ED8"/>
    <w:rsid w:val="005A0DD1"/>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765"/>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23A"/>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1B84"/>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1B2"/>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EE5"/>
    <w:rsid w:val="0068425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5FF5"/>
    <w:rsid w:val="006F60DE"/>
    <w:rsid w:val="006F63D7"/>
    <w:rsid w:val="006F65FB"/>
    <w:rsid w:val="006F72D2"/>
    <w:rsid w:val="006F7914"/>
    <w:rsid w:val="006F7C0B"/>
    <w:rsid w:val="006F7DD1"/>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6A36"/>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17D"/>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1FC5"/>
    <w:rsid w:val="00752066"/>
    <w:rsid w:val="00752701"/>
    <w:rsid w:val="00752B03"/>
    <w:rsid w:val="0075317C"/>
    <w:rsid w:val="00753454"/>
    <w:rsid w:val="00753BB5"/>
    <w:rsid w:val="007544F1"/>
    <w:rsid w:val="00755E4A"/>
    <w:rsid w:val="007561DF"/>
    <w:rsid w:val="0075672F"/>
    <w:rsid w:val="00756832"/>
    <w:rsid w:val="00757F0B"/>
    <w:rsid w:val="007613D4"/>
    <w:rsid w:val="00761826"/>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876C9"/>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59B"/>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3E90"/>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8D7"/>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5AB6"/>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6E62"/>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6DD"/>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486"/>
    <w:rsid w:val="008957D3"/>
    <w:rsid w:val="00895CE5"/>
    <w:rsid w:val="00896414"/>
    <w:rsid w:val="0089716F"/>
    <w:rsid w:val="00897C71"/>
    <w:rsid w:val="008A0B02"/>
    <w:rsid w:val="008A0F54"/>
    <w:rsid w:val="008A1059"/>
    <w:rsid w:val="008A16F9"/>
    <w:rsid w:val="008A19C8"/>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9B9"/>
    <w:rsid w:val="008C2AC7"/>
    <w:rsid w:val="008C2CFD"/>
    <w:rsid w:val="008C2D9F"/>
    <w:rsid w:val="008C3FDC"/>
    <w:rsid w:val="008C47AD"/>
    <w:rsid w:val="008C4E93"/>
    <w:rsid w:val="008C5689"/>
    <w:rsid w:val="008C603A"/>
    <w:rsid w:val="008C63D3"/>
    <w:rsid w:val="008C6C3C"/>
    <w:rsid w:val="008C6CA9"/>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2CEA"/>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E7212"/>
    <w:rsid w:val="008F00DB"/>
    <w:rsid w:val="008F11C5"/>
    <w:rsid w:val="008F1264"/>
    <w:rsid w:val="008F18F0"/>
    <w:rsid w:val="008F1D7D"/>
    <w:rsid w:val="008F2908"/>
    <w:rsid w:val="008F3097"/>
    <w:rsid w:val="008F47C6"/>
    <w:rsid w:val="008F4BAA"/>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380D"/>
    <w:rsid w:val="009143D9"/>
    <w:rsid w:val="00915254"/>
    <w:rsid w:val="00915B81"/>
    <w:rsid w:val="00915D6B"/>
    <w:rsid w:val="009160DF"/>
    <w:rsid w:val="009162BF"/>
    <w:rsid w:val="009162C7"/>
    <w:rsid w:val="00916D4B"/>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0B75"/>
    <w:rsid w:val="00951749"/>
    <w:rsid w:val="00951CA7"/>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2B77"/>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5735"/>
    <w:rsid w:val="009F6702"/>
    <w:rsid w:val="009F7867"/>
    <w:rsid w:val="009F7BB4"/>
    <w:rsid w:val="009F7D66"/>
    <w:rsid w:val="009F7E24"/>
    <w:rsid w:val="00A001CE"/>
    <w:rsid w:val="00A00BD2"/>
    <w:rsid w:val="00A00E56"/>
    <w:rsid w:val="00A0104E"/>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0ADE"/>
    <w:rsid w:val="00A220D6"/>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090"/>
    <w:rsid w:val="00A26491"/>
    <w:rsid w:val="00A276FC"/>
    <w:rsid w:val="00A30A89"/>
    <w:rsid w:val="00A30B2D"/>
    <w:rsid w:val="00A311AE"/>
    <w:rsid w:val="00A312A6"/>
    <w:rsid w:val="00A3130E"/>
    <w:rsid w:val="00A3193B"/>
    <w:rsid w:val="00A324CF"/>
    <w:rsid w:val="00A32E8B"/>
    <w:rsid w:val="00A32ED6"/>
    <w:rsid w:val="00A32F07"/>
    <w:rsid w:val="00A33776"/>
    <w:rsid w:val="00A3408E"/>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1E60"/>
    <w:rsid w:val="00A52895"/>
    <w:rsid w:val="00A5290E"/>
    <w:rsid w:val="00A52D7D"/>
    <w:rsid w:val="00A539A5"/>
    <w:rsid w:val="00A53DA0"/>
    <w:rsid w:val="00A5404D"/>
    <w:rsid w:val="00A54392"/>
    <w:rsid w:val="00A544CC"/>
    <w:rsid w:val="00A5475E"/>
    <w:rsid w:val="00A54A80"/>
    <w:rsid w:val="00A555A7"/>
    <w:rsid w:val="00A55748"/>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948"/>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0AD4"/>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5DB"/>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04C"/>
    <w:rsid w:val="00B011CC"/>
    <w:rsid w:val="00B02DC2"/>
    <w:rsid w:val="00B04048"/>
    <w:rsid w:val="00B0429A"/>
    <w:rsid w:val="00B04F3D"/>
    <w:rsid w:val="00B05702"/>
    <w:rsid w:val="00B0619C"/>
    <w:rsid w:val="00B06321"/>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2FE"/>
    <w:rsid w:val="00B248D0"/>
    <w:rsid w:val="00B24F76"/>
    <w:rsid w:val="00B2628E"/>
    <w:rsid w:val="00B266B0"/>
    <w:rsid w:val="00B27921"/>
    <w:rsid w:val="00B27AAE"/>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2BA"/>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F8E"/>
    <w:rsid w:val="00B625CC"/>
    <w:rsid w:val="00B63337"/>
    <w:rsid w:val="00B6369F"/>
    <w:rsid w:val="00B639D7"/>
    <w:rsid w:val="00B63B94"/>
    <w:rsid w:val="00B64AA7"/>
    <w:rsid w:val="00B65452"/>
    <w:rsid w:val="00B66312"/>
    <w:rsid w:val="00B66594"/>
    <w:rsid w:val="00B670FE"/>
    <w:rsid w:val="00B6754E"/>
    <w:rsid w:val="00B67805"/>
    <w:rsid w:val="00B67B4E"/>
    <w:rsid w:val="00B67E40"/>
    <w:rsid w:val="00B70092"/>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93E"/>
    <w:rsid w:val="00B80D90"/>
    <w:rsid w:val="00B81AB9"/>
    <w:rsid w:val="00B82548"/>
    <w:rsid w:val="00B82613"/>
    <w:rsid w:val="00B828B5"/>
    <w:rsid w:val="00B82ED8"/>
    <w:rsid w:val="00B82F5E"/>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0D7"/>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330"/>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4B1"/>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5DA"/>
    <w:rsid w:val="00C60B07"/>
    <w:rsid w:val="00C61560"/>
    <w:rsid w:val="00C61D4B"/>
    <w:rsid w:val="00C62B0A"/>
    <w:rsid w:val="00C63C52"/>
    <w:rsid w:val="00C63F08"/>
    <w:rsid w:val="00C64690"/>
    <w:rsid w:val="00C648D5"/>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58C"/>
    <w:rsid w:val="00C76F1D"/>
    <w:rsid w:val="00C77516"/>
    <w:rsid w:val="00C77937"/>
    <w:rsid w:val="00C77A13"/>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2E7"/>
    <w:rsid w:val="00C91857"/>
    <w:rsid w:val="00C9213B"/>
    <w:rsid w:val="00C92223"/>
    <w:rsid w:val="00C9246A"/>
    <w:rsid w:val="00C93346"/>
    <w:rsid w:val="00C93462"/>
    <w:rsid w:val="00C93B5D"/>
    <w:rsid w:val="00C94384"/>
    <w:rsid w:val="00C94A34"/>
    <w:rsid w:val="00C94C2B"/>
    <w:rsid w:val="00C94F73"/>
    <w:rsid w:val="00C95609"/>
    <w:rsid w:val="00C96F79"/>
    <w:rsid w:val="00C97CF9"/>
    <w:rsid w:val="00CA07A2"/>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5BFA"/>
    <w:rsid w:val="00CC6096"/>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505"/>
    <w:rsid w:val="00CF4ABD"/>
    <w:rsid w:val="00CF4CF2"/>
    <w:rsid w:val="00CF5A53"/>
    <w:rsid w:val="00CF5D28"/>
    <w:rsid w:val="00CF68B8"/>
    <w:rsid w:val="00CF6EAD"/>
    <w:rsid w:val="00CF6F1E"/>
    <w:rsid w:val="00D001F9"/>
    <w:rsid w:val="00D0030E"/>
    <w:rsid w:val="00D0036E"/>
    <w:rsid w:val="00D00469"/>
    <w:rsid w:val="00D00BB7"/>
    <w:rsid w:val="00D012FC"/>
    <w:rsid w:val="00D01DFA"/>
    <w:rsid w:val="00D01EAD"/>
    <w:rsid w:val="00D035B9"/>
    <w:rsid w:val="00D040B7"/>
    <w:rsid w:val="00D060FF"/>
    <w:rsid w:val="00D061B9"/>
    <w:rsid w:val="00D064E8"/>
    <w:rsid w:val="00D06546"/>
    <w:rsid w:val="00D06572"/>
    <w:rsid w:val="00D065CD"/>
    <w:rsid w:val="00D0724B"/>
    <w:rsid w:val="00D07965"/>
    <w:rsid w:val="00D07ED6"/>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336"/>
    <w:rsid w:val="00D37A1A"/>
    <w:rsid w:val="00D40357"/>
    <w:rsid w:val="00D4081B"/>
    <w:rsid w:val="00D40E1A"/>
    <w:rsid w:val="00D413C3"/>
    <w:rsid w:val="00D42240"/>
    <w:rsid w:val="00D42498"/>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C07"/>
    <w:rsid w:val="00D54FB3"/>
    <w:rsid w:val="00D55889"/>
    <w:rsid w:val="00D56B5F"/>
    <w:rsid w:val="00D57A21"/>
    <w:rsid w:val="00D57A3F"/>
    <w:rsid w:val="00D57AF0"/>
    <w:rsid w:val="00D57B23"/>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963"/>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3EF2"/>
    <w:rsid w:val="00D9415C"/>
    <w:rsid w:val="00D942CC"/>
    <w:rsid w:val="00D944E4"/>
    <w:rsid w:val="00D94D87"/>
    <w:rsid w:val="00D94E34"/>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A7F9B"/>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A17"/>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2E67"/>
    <w:rsid w:val="00DE32B4"/>
    <w:rsid w:val="00DE3DBB"/>
    <w:rsid w:val="00DE43A2"/>
    <w:rsid w:val="00DE4A74"/>
    <w:rsid w:val="00DE4B05"/>
    <w:rsid w:val="00DE4EE9"/>
    <w:rsid w:val="00DE541C"/>
    <w:rsid w:val="00DE737B"/>
    <w:rsid w:val="00DF100B"/>
    <w:rsid w:val="00DF11B7"/>
    <w:rsid w:val="00DF2C55"/>
    <w:rsid w:val="00DF2D45"/>
    <w:rsid w:val="00DF4227"/>
    <w:rsid w:val="00DF4359"/>
    <w:rsid w:val="00DF4A0C"/>
    <w:rsid w:val="00DF6940"/>
    <w:rsid w:val="00DF73C1"/>
    <w:rsid w:val="00DF7511"/>
    <w:rsid w:val="00DF75BB"/>
    <w:rsid w:val="00DF7751"/>
    <w:rsid w:val="00DF7AD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34"/>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3D6B"/>
    <w:rsid w:val="00E843B5"/>
    <w:rsid w:val="00E84A3B"/>
    <w:rsid w:val="00E84B80"/>
    <w:rsid w:val="00E85307"/>
    <w:rsid w:val="00E85B0A"/>
    <w:rsid w:val="00E87742"/>
    <w:rsid w:val="00E904A9"/>
    <w:rsid w:val="00E906E8"/>
    <w:rsid w:val="00E907E4"/>
    <w:rsid w:val="00E90A24"/>
    <w:rsid w:val="00E90C34"/>
    <w:rsid w:val="00E913C1"/>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1F6"/>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0FD3"/>
    <w:rsid w:val="00EE11C2"/>
    <w:rsid w:val="00EE2A61"/>
    <w:rsid w:val="00EE3663"/>
    <w:rsid w:val="00EE41C4"/>
    <w:rsid w:val="00EE46BE"/>
    <w:rsid w:val="00EE5A27"/>
    <w:rsid w:val="00EE69AD"/>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EF7BC9"/>
    <w:rsid w:val="00F0021E"/>
    <w:rsid w:val="00F0030E"/>
    <w:rsid w:val="00F00B33"/>
    <w:rsid w:val="00F00CD1"/>
    <w:rsid w:val="00F00DF1"/>
    <w:rsid w:val="00F014E6"/>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217C"/>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4B3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034C"/>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AEE"/>
    <w:rsid w:val="00FC4EA8"/>
    <w:rsid w:val="00FC510F"/>
    <w:rsid w:val="00FC575A"/>
    <w:rsid w:val="00FC6238"/>
    <w:rsid w:val="00FC632F"/>
    <w:rsid w:val="00FC690C"/>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025"/>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572D81A-AD55-4163-B414-AE0FA108B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0FB"/>
    <w:pPr>
      <w:spacing w:after="160" w:line="278" w:lineRule="auto"/>
    </w:pPr>
    <w:rPr>
      <w:rFonts w:asciiTheme="minorHAnsi" w:eastAsiaTheme="minorHAnsi" w:hAnsiTheme="minorHAnsi" w:cstheme="minorBidi"/>
      <w:kern w:val="2"/>
      <w:sz w:val="24"/>
      <w:szCs w:val="24"/>
      <w:lang/>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450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50F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E913C1"/>
    <w:pPr>
      <w:numPr>
        <w:numId w:val="11"/>
      </w:numPr>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left" w:pos="1440"/>
      </w:tabs>
      <w:ind w:left="0" w:firstLine="0"/>
    </w:pPr>
  </w:style>
  <w:style w:type="character" w:styleId="Strong">
    <w:name w:val="Strong"/>
    <w:basedOn w:val="DefaultParagraphFont"/>
    <w:uiPriority w:val="22"/>
    <w:qFormat/>
    <w:rsid w:val="008C6C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050623">
      <w:bodyDiv w:val="1"/>
      <w:marLeft w:val="0"/>
      <w:marRight w:val="0"/>
      <w:marTop w:val="0"/>
      <w:marBottom w:val="0"/>
      <w:divBdr>
        <w:top w:val="none" w:sz="0" w:space="0" w:color="auto"/>
        <w:left w:val="none" w:sz="0" w:space="0" w:color="auto"/>
        <w:bottom w:val="none" w:sz="0" w:space="0" w:color="auto"/>
        <w:right w:val="none" w:sz="0" w:space="0" w:color="auto"/>
      </w:divBdr>
      <w:divsChild>
        <w:div w:id="1540051684">
          <w:marLeft w:val="0"/>
          <w:marRight w:val="0"/>
          <w:marTop w:val="0"/>
          <w:marBottom w:val="0"/>
          <w:divBdr>
            <w:top w:val="none" w:sz="0" w:space="0" w:color="auto"/>
            <w:left w:val="none" w:sz="0" w:space="0" w:color="auto"/>
            <w:bottom w:val="none" w:sz="0" w:space="0" w:color="auto"/>
            <w:right w:val="none" w:sz="0" w:space="0" w:color="auto"/>
          </w:divBdr>
        </w:div>
        <w:div w:id="338774311">
          <w:marLeft w:val="0"/>
          <w:marRight w:val="0"/>
          <w:marTop w:val="0"/>
          <w:marBottom w:val="0"/>
          <w:divBdr>
            <w:top w:val="none" w:sz="0" w:space="0" w:color="auto"/>
            <w:left w:val="none" w:sz="0" w:space="0" w:color="auto"/>
            <w:bottom w:val="none" w:sz="0" w:space="0" w:color="auto"/>
            <w:right w:val="none" w:sz="0" w:space="0" w:color="auto"/>
          </w:divBdr>
        </w:div>
      </w:divsChild>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922</Words>
  <Characters>5256</Characters>
  <Application>Microsoft Office Word</Application>
  <DocSecurity>2</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cp:lastModifiedBy>
  <cp:revision>2</cp:revision>
  <dcterms:created xsi:type="dcterms:W3CDTF">2025-10-02T14:12:00Z</dcterms:created>
  <dcterms:modified xsi:type="dcterms:W3CDTF">2025-10-02T14:14:00Z</dcterms:modified>
</cp:coreProperties>
</file>